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EA483A6" wp14:paraId="4A774239" wp14:textId="36E08A05">
      <w:pPr>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2491ADE4">
        <w:rPr>
          <w:rFonts w:ascii="Calibri" w:hAnsi="Calibri" w:eastAsia="Calibri" w:cs="Calibri"/>
          <w:b w:val="1"/>
          <w:bCs w:val="1"/>
          <w:i w:val="0"/>
          <w:iCs w:val="0"/>
          <w:caps w:val="0"/>
          <w:smallCaps w:val="0"/>
          <w:noProof w:val="0"/>
          <w:color w:val="000000" w:themeColor="text1" w:themeTint="FF" w:themeShade="FF"/>
          <w:sz w:val="22"/>
          <w:szCs w:val="22"/>
          <w:lang w:val="en-GB"/>
        </w:rPr>
        <w:t>About Cybit:</w:t>
      </w:r>
    </w:p>
    <w:p w:rsidR="746B147D" w:rsidP="5DDE9579" w:rsidRDefault="746B147D" w14:paraId="7B1203A9" w14:textId="31B3BCED">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is a trusted partner offering over three decades of technology </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expertise</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and specialisms in data analytics, AI, cybersecurity, modern workspace, hybrid cloud, and managed services</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empowers private and public sector organisations to predict change, protect what matters, and perform with confidence.</w:t>
      </w:r>
    </w:p>
    <w:p w:rsidR="746B147D" w:rsidP="5DDE9579" w:rsidRDefault="746B147D" w14:paraId="4BA2AE81" w14:textId="671E6B30">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w:t>
      </w:r>
    </w:p>
    <w:p w:rsidR="746B147D" w:rsidP="5DDE9579" w:rsidRDefault="746B147D" w14:paraId="2D2C861D" w14:textId="7AD4CC82">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At the heart of </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Cybit’s</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approach is a belief that technology should do more than enable operations—it should unlock new opportunities, accelerate growth, and create a positive impact for people, communities, and the planet. By integrating intelligent, secure, and connected solutions, </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transforms complexity into clarity, helping clients stay ahead of threats, uncover actionable insights, and optimise performance at every level</w:t>
      </w:r>
    </w:p>
    <w:p w:rsidR="746B147D" w:rsidP="5DDE9579" w:rsidRDefault="746B147D" w14:paraId="39A1029E" w14:textId="3045CEA2">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w:t>
      </w:r>
    </w:p>
    <w:p w:rsidR="746B147D" w:rsidP="5DDE9579" w:rsidRDefault="746B147D" w14:paraId="176018ED" w14:textId="2BB1256C">
      <w:pPr>
        <w:shd w:val="clear" w:color="auto" w:fill="FFFFFF" w:themeFill="background1"/>
        <w:spacing w:before="0" w:beforeAutospacing="off" w:after="0" w:afterAutospacing="off"/>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Cybit’s</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collaborative ethos is reflected in its strong partnerships with leading technology vendors and its commitment to continuous improvement. Every solution is tailored to the client’s unique goals, delivered with integrity, and measured by real-world outcomes. Whether enabling smarter decision-making through data and AI, building resilient digital environments, or supporting sustainable business transformation, </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Cybit</w:t>
      </w:r>
      <w:r w:rsidRPr="5DDE9579" w:rsidR="746B147D">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t xml:space="preserve"> is dedicated to shaping a future where technology is a force for good.</w:t>
      </w:r>
    </w:p>
    <w:p w:rsidR="5DDE9579" w:rsidP="5DDE9579" w:rsidRDefault="5DDE9579" w14:paraId="11107E1F" w14:textId="2580B34B">
      <w:pPr>
        <w:shd w:val="clear" w:color="auto" w:fill="FFFFFF" w:themeFill="background1"/>
        <w:spacing w:before="0" w:beforeAutospacing="off" w:after="0" w:afterAutospacing="off"/>
        <w:jc w:val="both"/>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GB" w:eastAsia="ja-JP" w:bidi="ar-SA"/>
        </w:rPr>
      </w:pPr>
    </w:p>
    <w:p xmlns:wp14="http://schemas.microsoft.com/office/word/2010/wordml" w:rsidP="1EA483A6" wp14:paraId="05B21ABB" wp14:textId="40F6ADF9">
      <w:pPr>
        <w:spacing w:line="240" w:lineRule="auto"/>
        <w:jc w:val="both"/>
        <w:rPr>
          <w:rFonts w:ascii="Calibri" w:hAnsi="Calibri" w:eastAsia="Calibri" w:cs="Calibri"/>
          <w:b w:val="0"/>
          <w:bCs w:val="0"/>
          <w:i w:val="0"/>
          <w:iCs w:val="0"/>
          <w:caps w:val="0"/>
          <w:smallCaps w:val="0"/>
          <w:noProof w:val="0"/>
          <w:color w:val="000000" w:themeColor="text1" w:themeTint="FF" w:themeShade="FF"/>
          <w:sz w:val="22"/>
          <w:szCs w:val="22"/>
          <w:lang w:val="en-GB"/>
        </w:rPr>
      </w:pPr>
      <w:r w:rsidRPr="1EA483A6" w:rsidR="2491ADE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For more information about Cybit, please visit </w:t>
      </w:r>
      <w:hyperlink r:id="R865fefeb1c684c55">
        <w:r w:rsidRPr="1EA483A6" w:rsidR="2491ADE4">
          <w:rPr>
            <w:rStyle w:val="Hyperlink"/>
            <w:rFonts w:ascii="Calibri" w:hAnsi="Calibri" w:eastAsia="Calibri" w:cs="Calibri"/>
            <w:b w:val="0"/>
            <w:bCs w:val="0"/>
            <w:i w:val="0"/>
            <w:iCs w:val="0"/>
            <w:caps w:val="0"/>
            <w:smallCaps w:val="0"/>
            <w:strike w:val="0"/>
            <w:dstrike w:val="0"/>
            <w:noProof w:val="0"/>
            <w:color w:val="1155CC"/>
            <w:sz w:val="22"/>
            <w:szCs w:val="22"/>
            <w:u w:val="single"/>
            <w:lang w:val="en-GB"/>
          </w:rPr>
          <w:t>www.cybit.com</w:t>
        </w:r>
      </w:hyperlink>
    </w:p>
    <w:p xmlns:wp14="http://schemas.microsoft.com/office/word/2010/wordml" wp14:paraId="5E5787A5" wp14:textId="48A339B7"/>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111AADA"/>
    <w:rsid w:val="1EA483A6"/>
    <w:rsid w:val="2491ADE4"/>
    <w:rsid w:val="5DDE9579"/>
    <w:rsid w:val="6111AADA"/>
    <w:rsid w:val="746B14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AADA"/>
  <w15:chartTrackingRefBased/>
  <w15:docId w15:val="{C2D3D3AA-9656-42AE-87BC-7AD1A2C5B9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1EA483A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www.cybit.com/" TargetMode="External" Id="R865fefeb1c684c5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B8672C75CF63429B5D7B619B4FBE3E" ma:contentTypeVersion="9" ma:contentTypeDescription="Create a new document." ma:contentTypeScope="" ma:versionID="483ffc91f7cf3f0f094489d8c064e6bc">
  <xsd:schema xmlns:xsd="http://www.w3.org/2001/XMLSchema" xmlns:xs="http://www.w3.org/2001/XMLSchema" xmlns:p="http://schemas.microsoft.com/office/2006/metadata/properties" xmlns:ns2="423b6abc-027f-4367-b97c-3cacbefac5f7" xmlns:ns3="48865385-5a0f-42e0-b92d-bc8b2b49983a" targetNamespace="http://schemas.microsoft.com/office/2006/metadata/properties" ma:root="true" ma:fieldsID="0e74777918efc1f9eb51f7a5754aa602" ns2:_="" ns3:_="">
    <xsd:import namespace="423b6abc-027f-4367-b97c-3cacbefac5f7"/>
    <xsd:import namespace="48865385-5a0f-42e0-b92d-bc8b2b49983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b6abc-027f-4367-b97c-3cacbefac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653dbca-37ab-4b6d-bcad-1dc8b2f8390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865385-5a0f-42e0-b92d-bc8b2b4998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22e3128-498b-4379-92ed-1f0cbe48ad0a}" ma:internalName="TaxCatchAll" ma:showField="CatchAllData" ma:web="48865385-5a0f-42e0-b92d-bc8b2b499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865385-5a0f-42e0-b92d-bc8b2b49983a" xsi:nil="true"/>
    <lcf76f155ced4ddcb4097134ff3c332f xmlns="423b6abc-027f-4367-b97c-3cacbefac5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5E4DDF-1304-407A-B923-610766F2FE6D}"/>
</file>

<file path=customXml/itemProps2.xml><?xml version="1.0" encoding="utf-8"?>
<ds:datastoreItem xmlns:ds="http://schemas.openxmlformats.org/officeDocument/2006/customXml" ds:itemID="{E8762EE5-4065-466E-B550-18952FA8A43C}"/>
</file>

<file path=customXml/itemProps3.xml><?xml version="1.0" encoding="utf-8"?>
<ds:datastoreItem xmlns:ds="http://schemas.openxmlformats.org/officeDocument/2006/customXml" ds:itemID="{84EF3345-A7C6-4FC9-84EC-BEB42F6B60D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Emily John</dc:creator>
  <keywords/>
  <dc:description/>
  <lastModifiedBy>Emily John</lastModifiedBy>
  <revision>3</revision>
  <dcterms:created xsi:type="dcterms:W3CDTF">2025-09-11T08:31:03.0000000Z</dcterms:created>
  <dcterms:modified xsi:type="dcterms:W3CDTF">2025-09-11T08:45:21.1761844Z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0x01010010B8672C75CF63429B5D7B619B4FBE3E</vt:lpwstr>
  </property>
  <property fmtid="{D5CDD505-2E9C-101B-9397-08002B2CF9AE}" pid="3" name="MediaServiceImageTags">
    <vt:lpwstr/>
  </property>
</Properties>
</file>